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CE0" w:rsidRPr="00933610" w:rsidRDefault="00090CE0" w:rsidP="00090CE0">
      <w:pPr>
        <w:rPr>
          <w:rFonts w:ascii="宋体" w:eastAsia="宋体" w:hAnsi="宋体"/>
          <w:b/>
          <w:sz w:val="24"/>
          <w:szCs w:val="24"/>
        </w:rPr>
      </w:pPr>
      <w:r w:rsidRPr="00933610">
        <w:rPr>
          <w:rFonts w:ascii="宋体" w:eastAsia="宋体" w:hAnsi="宋体" w:hint="eastAsia"/>
          <w:b/>
          <w:sz w:val="24"/>
          <w:szCs w:val="24"/>
        </w:rPr>
        <w:t>附件2：</w:t>
      </w:r>
    </w:p>
    <w:p w:rsidR="00090CE0" w:rsidRPr="00933610" w:rsidRDefault="00090CE0" w:rsidP="00090CE0">
      <w:pPr>
        <w:rPr>
          <w:rFonts w:ascii="宋体" w:eastAsia="宋体" w:hAnsi="宋体"/>
          <w:b/>
          <w:sz w:val="24"/>
          <w:szCs w:val="24"/>
        </w:rPr>
      </w:pPr>
      <w:r w:rsidRPr="00933610">
        <w:rPr>
          <w:rFonts w:ascii="宋体" w:eastAsia="宋体" w:hAnsi="宋体" w:hint="eastAsia"/>
          <w:b/>
          <w:sz w:val="24"/>
          <w:szCs w:val="24"/>
        </w:rPr>
        <w:t>珠海市建设创新型城市行动计划（2014-2016）（征求意见稿）</w:t>
      </w:r>
    </w:p>
    <w:p w:rsidR="00090CE0" w:rsidRPr="004D46DB" w:rsidRDefault="00090CE0" w:rsidP="00090CE0">
      <w:pPr>
        <w:rPr>
          <w:rFonts w:ascii="宋体" w:eastAsia="宋体" w:hAnsi="宋体"/>
          <w:sz w:val="24"/>
          <w:szCs w:val="24"/>
        </w:rPr>
      </w:pP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为全面贯彻落实党的“十八大”及十八届三中全会精神，加快建设创新型珠海，有效增强我市自主创新能力，根据《国家中长期科学和技术发展规划纲要》、《广东省自主创新促进条例》、《珠海经济特区科技创新促进条例》和《中共珠海市委、珠海市人民政府关于加快实施自主创新战略建设创新型珠海的意见》，制定本行动计划。</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一、指导思想和发展目标</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（一）指导思想</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以“蓝色珠海，科学崛起”统揽全局，以“创新驱动”促进经济发展方式转变为基本出发点，以培育“三高一特”产业为主战场，以珠海高新区等科技产业园区和主要创新平台为载体，以政产学研</w:t>
      </w:r>
      <w:proofErr w:type="gramStart"/>
      <w:r w:rsidRPr="004D46DB">
        <w:rPr>
          <w:rFonts w:ascii="宋体" w:eastAsia="宋体" w:hAnsi="宋体" w:hint="eastAsia"/>
          <w:sz w:val="24"/>
          <w:szCs w:val="24"/>
        </w:rPr>
        <w:t>资结合</w:t>
      </w:r>
      <w:proofErr w:type="gramEnd"/>
      <w:r w:rsidRPr="004D46DB">
        <w:rPr>
          <w:rFonts w:ascii="宋体" w:eastAsia="宋体" w:hAnsi="宋体" w:hint="eastAsia"/>
          <w:sz w:val="24"/>
          <w:szCs w:val="24"/>
        </w:rPr>
        <w:t>为手段，以创建国家级创新型城市为目标，构建有珠海特色的区域性自主创新体系。</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立足珠海产业特点和比较优势，掌握一批重点产业领域关键技术、核心技术，促进产业转型升级。积极推广和普及惠民技术，掌握部分前沿技术发展新业态，提升现代服务业水平。着力培养造就创新型科技人才队伍，加强知识产权创造和保护，促进科技成果转化，全面提升自主创新能力，增强科技综合实力，将珠海打造成在全国有一定影响力、全省先进的区域性创新城市。</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（二）主要目标</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1、总体目标</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到2016年，珠海市科技创新体制进一步完善，科技政策环境进一步优化，区域创新体系形成特色。企业创新主体地位进一步加强，全市技术创新能力和技术创新条件得到显著改善，高素质创新人才数量大幅度增加。全社会科技创新意识和全民科技素质明显提高，科技综合实力和产业竞争力位居全省前列，力争进入国家创新型城市的行列。</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2、具体目标</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到2016年，高新技术产业得到较快发展，高新技术产品产值</w:t>
      </w:r>
      <w:proofErr w:type="gramStart"/>
      <w:r w:rsidRPr="004D46DB">
        <w:rPr>
          <w:rFonts w:ascii="宋体" w:eastAsia="宋体" w:hAnsi="宋体" w:hint="eastAsia"/>
          <w:sz w:val="24"/>
          <w:szCs w:val="24"/>
        </w:rPr>
        <w:t>占规模</w:t>
      </w:r>
      <w:proofErr w:type="gramEnd"/>
      <w:r w:rsidRPr="004D46DB">
        <w:rPr>
          <w:rFonts w:ascii="宋体" w:eastAsia="宋体" w:hAnsi="宋体" w:hint="eastAsia"/>
          <w:sz w:val="24"/>
          <w:szCs w:val="24"/>
        </w:rPr>
        <w:t>以上工业总产值比重超过50%。高新技术企业达到350家，继续保持在全省的前列。</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全市R＆D经费支出占GDP的比重超过2.5 %，市和所属区地方财政研发投</w:t>
      </w:r>
      <w:r w:rsidRPr="004D46DB">
        <w:rPr>
          <w:rFonts w:ascii="宋体" w:eastAsia="宋体" w:hAnsi="宋体" w:hint="eastAsia"/>
          <w:sz w:val="24"/>
          <w:szCs w:val="24"/>
        </w:rPr>
        <w:lastRenderedPageBreak/>
        <w:t>入占同级财政支出的比例达到3%，科技投入的规模和质量得到显著提高，科技金融支撑能力进一步提升，初步形成较为完善的科技创新投融资体系。</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研发人员超过2万人。引进和培养一批在行业知名的领军人才，培育数个具有特色的省级技术创新团队，战略性新兴产业和高科技产业发展人才缺口问题得到有效改善，从业人员素质明显提高。</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每百万人发明专利申请量超过1700件，专利申请量和授权量继续保持稳步增长。企业内部知识产权工作管理体系得到进一步完善，将专利工作贯穿于技术创新、生产经营、营销出口、对外合作、资产管理等企业运营的各个环节，初步形成企业构建自主知识产权体系的技术路线和基于专利权的竞争优势。</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国家及省重点实验室、工程技术研究开发中心、企业技术中心等在现有基础上增加20家，国家级创新机构合计达到7—10家，为珠海市主导产业服务的共性技术平台达到10个，创新资源共享平台达到5个，产学研合作环境建设进一步优化。</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智慧城市建设初见成效，建成比较完善的信息化基础设施，无线网络实现全市、区、镇、高速公路和沿海的连续覆盖，3G/4G宽带网络市区覆盖率超过99%；</w:t>
      </w:r>
      <w:proofErr w:type="spellStart"/>
      <w:r w:rsidRPr="004D46DB">
        <w:rPr>
          <w:rFonts w:ascii="宋体" w:eastAsia="宋体" w:hAnsi="宋体" w:hint="eastAsia"/>
          <w:sz w:val="24"/>
          <w:szCs w:val="24"/>
        </w:rPr>
        <w:t>WiFi</w:t>
      </w:r>
      <w:proofErr w:type="spellEnd"/>
      <w:r w:rsidRPr="004D46DB">
        <w:rPr>
          <w:rFonts w:ascii="宋体" w:eastAsia="宋体" w:hAnsi="宋体" w:hint="eastAsia"/>
          <w:sz w:val="24"/>
          <w:szCs w:val="24"/>
        </w:rPr>
        <w:t>热点覆盖政府机关、医院、学校、科技园区、机场、港口、车站、公园、高档酒店等重要场所，</w:t>
      </w:r>
      <w:proofErr w:type="gramStart"/>
      <w:r w:rsidRPr="004D46DB">
        <w:rPr>
          <w:rFonts w:ascii="宋体" w:eastAsia="宋体" w:hAnsi="宋体" w:hint="eastAsia"/>
          <w:sz w:val="24"/>
          <w:szCs w:val="24"/>
        </w:rPr>
        <w:t>全市热点</w:t>
      </w:r>
      <w:proofErr w:type="gramEnd"/>
      <w:r w:rsidRPr="004D46DB">
        <w:rPr>
          <w:rFonts w:ascii="宋体" w:eastAsia="宋体" w:hAnsi="宋体" w:hint="eastAsia"/>
          <w:sz w:val="24"/>
          <w:szCs w:val="24"/>
        </w:rPr>
        <w:t>覆盖率超过40%；初步建成泛在、融合、智能、可信的网络基础设施，政府、企业、公众全民上网，网络服务全面普及。企业信息化水平进一步提高，信用、物流等制约电子商务发展的瓶颈问题得到有效解决，使珠海经济参与全球经济中高端竞争的能力有效增强。</w:t>
      </w:r>
    </w:p>
    <w:p w:rsidR="00090CE0" w:rsidRPr="004D46DB" w:rsidRDefault="00090CE0" w:rsidP="00F25419">
      <w:pPr>
        <w:spacing w:line="360" w:lineRule="auto"/>
        <w:rPr>
          <w:rFonts w:ascii="宋体" w:eastAsia="宋体" w:hAnsi="宋体"/>
          <w:sz w:val="24"/>
          <w:szCs w:val="24"/>
        </w:rPr>
      </w:pPr>
      <w:r w:rsidRPr="004D46DB">
        <w:rPr>
          <w:rFonts w:ascii="宋体" w:eastAsia="宋体" w:hAnsi="宋体" w:hint="eastAsia"/>
          <w:sz w:val="24"/>
          <w:szCs w:val="24"/>
        </w:rPr>
        <w:t>二、主要工作任务</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（一）构建符合全球中高端竞争要求的具有珠海特色的科技创新体系</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加快构建以企业为主体、市场为导向、政产学研紧密结合、有珠海特色的自主创新体系。提高企业研发机构建设水平，增强企业技术创新能力。加强公共创新平台建设，提高公共平台服务产业、服务企业的能力。</w:t>
      </w:r>
    </w:p>
    <w:p w:rsidR="00090CE0" w:rsidRPr="004D46DB" w:rsidRDefault="00090CE0" w:rsidP="00090CE0">
      <w:pPr>
        <w:spacing w:line="360" w:lineRule="auto"/>
        <w:ind w:firstLineChars="200" w:firstLine="480"/>
        <w:rPr>
          <w:rFonts w:ascii="宋体" w:eastAsia="宋体" w:hAnsi="宋体"/>
          <w:sz w:val="24"/>
          <w:szCs w:val="24"/>
        </w:rPr>
      </w:pPr>
      <w:r>
        <w:rPr>
          <w:rFonts w:ascii="宋体" w:eastAsia="宋体" w:hAnsi="宋体" w:hint="eastAsia"/>
          <w:sz w:val="24"/>
          <w:szCs w:val="24"/>
        </w:rPr>
        <w:t xml:space="preserve"> </w:t>
      </w:r>
      <w:r w:rsidRPr="004D46DB">
        <w:rPr>
          <w:rFonts w:ascii="宋体" w:eastAsia="宋体" w:hAnsi="宋体" w:hint="eastAsia"/>
          <w:sz w:val="24"/>
          <w:szCs w:val="24"/>
        </w:rPr>
        <w:t>1、提升企业自主创新的主体地位，提高企业创新能力</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把增强企业自主创新能力作为推进珠海市创新型城市建设的核心，深入实施“创新驱动”发展战略，提升珠海高新技术产业整体发展质量与效益。</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（1）加强企业研发机构建设</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lastRenderedPageBreak/>
        <w:t>推动企业建立国家级或省级的技术中心、工程中心、工程实验室等研究开发机构，提高科研成果的工程化与系统集成能力。引导和鼓励企业牵头与高校、科研机构共建博士后工作站等高水平的技术研发、人才培养机构，形成产学研相结合的创新机制。积极组织企业与重点高校和科研院所的产学研项目对接活动，鼓励市内高新技术企业与高校和科研院所开展合作，为企业解决技术难题，引进科技人才拓宽渠道。</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（2）加强高新技术企业培育</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培育有潜力的科技型中小企业成长为高新技术企业，并推动已认定的高新技术企业发展壮大，进一步发挥高新技术企业群体我市企业自主创新的主体地位。全市每年推荐一批技术创新能力强、发展势头好、属于国家重点支持的技术领域的科技型中小企业进行培育，引导企业从根本上提升和规范企业日常管理、科研管理和财务管理，成长为国家高新技术企业。</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鼓励各（功能）区设立专项资金，用于高新技术企业培育辅导，支持企业设立研发机构、引进高端创新人才、申报及维护知识产权等，促使企业自觉积极开展研究开发活动及加大研发经费投入，提升科技成果转化能力。</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（3）实施科技型中小企业扶持计划</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加强科技型中小企业扶持资金力度，市级财政每年投入不少于1，500万，各区财政按1:1配套扶持高成长性科技型中小企业。挖掘和储备一批重点扶持的高成长性科技型中小企业，优先享受产业扶持政策。</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2、积极推动建立行业创新服务平台</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围绕重点产业发展，集中建设辐射带动能力强、服务重点明确、服务面广的共性技术创新与服务平台。探索建立公共创新服务平台的投入、建设和服务模式，形成可持续发展的平台运营机制。</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重点建设好软件与集成电路设计、生物医药、动力电池检测、化工产品质量检测、打印耗材质量检测、船舶及海洋工程装备材料质量监督检验、工业设计等公共服务平台。继续支持吉林大学“无机合成与制备化学国家重点实验室”、电子科技大学“电子薄膜与集成器件国家重点实验室”、大连理工大学“精细化工国家重点实验室”、武汉大学“软件工程国家重点实验室”和中山大学“光电材料与技术国家重点实验室”等5个国家重点实验室分支机构的建设，同时要继续</w:t>
      </w:r>
      <w:r w:rsidRPr="004D46DB">
        <w:rPr>
          <w:rFonts w:ascii="宋体" w:eastAsia="宋体" w:hAnsi="宋体" w:hint="eastAsia"/>
          <w:sz w:val="24"/>
          <w:szCs w:val="24"/>
        </w:rPr>
        <w:lastRenderedPageBreak/>
        <w:t>积极引进和建设与我市产业密切相关的国家重点实验室，开展共性技术和关键核心技术攻关，加快成果转化。</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充分利用全球科技文献信息资源，构建科技文献信息资源综合服务平台。建设与完善科技成果转移与技术交易平台，建成标准化、数字化的高效科技服务网络枢纽。</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3、促进政化产学研一体化建设</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完善政策和投入体系。强化产学研合作相关政策，保证市财政投入的稳定增长。开展市区联动，进一步完善我市产学研合作机制。</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加强公共服务平台和孵化器建设，根据产业发展需要，合理规划并完善建设公共技术平台，支持现有公共技术平台健全管理制度，逐步走向独立化运作。建设“中国科学院广州技术转移中心珠海中心”，进一步完善我市产学研合作平台；加快清华科技园（珠海）二期项目建设，提升其科技研发、成果转化、企业孵化和风险投资能力；加强科技企业孵化器建设，实现科技企业孵化器面积和在</w:t>
      </w:r>
      <w:proofErr w:type="gramStart"/>
      <w:r w:rsidRPr="004D46DB">
        <w:rPr>
          <w:rFonts w:ascii="宋体" w:eastAsia="宋体" w:hAnsi="宋体" w:hint="eastAsia"/>
          <w:sz w:val="24"/>
          <w:szCs w:val="24"/>
        </w:rPr>
        <w:t>孵企业</w:t>
      </w:r>
      <w:proofErr w:type="gramEnd"/>
      <w:r w:rsidRPr="004D46DB">
        <w:rPr>
          <w:rFonts w:ascii="宋体" w:eastAsia="宋体" w:hAnsi="宋体" w:hint="eastAsia"/>
          <w:sz w:val="24"/>
          <w:szCs w:val="24"/>
        </w:rPr>
        <w:t>数量的大幅增长。在软件、IC设计、生物医药、新能源汽车、打印耗材、石化、造船和食品安全等领域建设和完善具有行业科技服务能力的共性平台，有效增强大型仪器设备、科研设施、科技文献共享和科技成果转化等科技服务功能。</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通过“请进来、走出去”相结合的方式，组织多种形式的产学研对接活动，为我市产学研活动拓展广泛的空间。实现我市高校办学思路的调整，增强本地高校的科研能力建设，为产业发展提供必要的技术支持。</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（二）以“三高一特”产业为主导，加快发展现代产业体系</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根据珠海的产业基础和比较优势，大力发展以“三高一特”产业为主导的现代产业体系，继续优化产业布局，全面提升产业创新能力。</w:t>
      </w:r>
    </w:p>
    <w:p w:rsidR="00090CE0" w:rsidRPr="004D46DB" w:rsidRDefault="00090CE0" w:rsidP="00654CEA">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 xml:space="preserve">1、高端制造业 </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（1）节能环保智能家电</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以格力电器为龙头，发展环保型、舒适型变频产品及高能效等级</w:t>
      </w:r>
      <w:proofErr w:type="gramStart"/>
      <w:r w:rsidRPr="004D46DB">
        <w:rPr>
          <w:rFonts w:ascii="宋体" w:eastAsia="宋体" w:hAnsi="宋体" w:hint="eastAsia"/>
          <w:sz w:val="24"/>
          <w:szCs w:val="24"/>
        </w:rPr>
        <w:t>的定频产品</w:t>
      </w:r>
      <w:proofErr w:type="gramEnd"/>
      <w:r w:rsidRPr="004D46DB">
        <w:rPr>
          <w:rFonts w:ascii="宋体" w:eastAsia="宋体" w:hAnsi="宋体" w:hint="eastAsia"/>
          <w:sz w:val="24"/>
          <w:szCs w:val="24"/>
        </w:rPr>
        <w:t>，加强对交流变频技术、直流调速技术和数码涡旋技术等节能和智能化控制的共性技术的研究和应用，推动变频技术，空调制冷剂和材料替代技术、智能化等技术的研发及产业化，提升空调器压缩机等关键零部件的制造水平。继续推进格力高效直流变频离心机组技术改造项目。采用节能环保技术，在现有物联网空调产品</w:t>
      </w:r>
      <w:r w:rsidRPr="004D46DB">
        <w:rPr>
          <w:rFonts w:ascii="宋体" w:eastAsia="宋体" w:hAnsi="宋体" w:hint="eastAsia"/>
          <w:sz w:val="24"/>
          <w:szCs w:val="24"/>
        </w:rPr>
        <w:lastRenderedPageBreak/>
        <w:t>的基础上，强化网络技术、通讯技术与自动化控制技术的结合。进一步提升规模优势和技术优势，延伸和完善产业链，推进关键配套本地化。</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（2）通用航空</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重点发展通用飞机和航空配套装备产业。实施工信部民机专项科研项目、铱星通讯设备研制项目、民用飞机加改装项目，建立“通飞航空研究中心”以及博士后工作站、合作共建FBO实验站。进一步加强与中国航空工业集团公司的战略合作关系，加快推进</w:t>
      </w:r>
      <w:proofErr w:type="gramStart"/>
      <w:r w:rsidRPr="004D46DB">
        <w:rPr>
          <w:rFonts w:ascii="宋体" w:eastAsia="宋体" w:hAnsi="宋体" w:hint="eastAsia"/>
          <w:sz w:val="24"/>
          <w:szCs w:val="24"/>
        </w:rPr>
        <w:t>中航通飞等</w:t>
      </w:r>
      <w:proofErr w:type="gramEnd"/>
      <w:r w:rsidRPr="004D46DB">
        <w:rPr>
          <w:rFonts w:ascii="宋体" w:eastAsia="宋体" w:hAnsi="宋体" w:hint="eastAsia"/>
          <w:sz w:val="24"/>
          <w:szCs w:val="24"/>
        </w:rPr>
        <w:t>在</w:t>
      </w:r>
      <w:proofErr w:type="gramStart"/>
      <w:r w:rsidRPr="004D46DB">
        <w:rPr>
          <w:rFonts w:ascii="宋体" w:eastAsia="宋体" w:hAnsi="宋体" w:hint="eastAsia"/>
          <w:sz w:val="24"/>
          <w:szCs w:val="24"/>
        </w:rPr>
        <w:t>珠项目</w:t>
      </w:r>
      <w:proofErr w:type="gramEnd"/>
      <w:r w:rsidRPr="004D46DB">
        <w:rPr>
          <w:rFonts w:ascii="宋体" w:eastAsia="宋体" w:hAnsi="宋体" w:hint="eastAsia"/>
          <w:sz w:val="24"/>
          <w:szCs w:val="24"/>
        </w:rPr>
        <w:t>建设，扩大双方合作领域，完善包括研发、维修、飞行培训、交付服务等在内的航空产业链条。积极发展航空相关研发设计、航空培训、航空服务、航空物流、飞机托管等高附加值项目。</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（3）轨道交通装备</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依托北车装备工程有限公司等核心企业，重点发展低地板有轨电车等轨道车辆、电传动系统成套设备及系统配套件产品以及车辆维修业务；重点围绕低噪低振动的城际及</w:t>
      </w:r>
      <w:proofErr w:type="gramStart"/>
      <w:r w:rsidRPr="004D46DB">
        <w:rPr>
          <w:rFonts w:ascii="宋体" w:eastAsia="宋体" w:hAnsi="宋体" w:hint="eastAsia"/>
          <w:sz w:val="24"/>
          <w:szCs w:val="24"/>
        </w:rPr>
        <w:t>城轨车辆</w:t>
      </w:r>
      <w:proofErr w:type="gramEnd"/>
      <w:r w:rsidRPr="004D46DB">
        <w:rPr>
          <w:rFonts w:ascii="宋体" w:eastAsia="宋体" w:hAnsi="宋体" w:hint="eastAsia"/>
          <w:sz w:val="24"/>
          <w:szCs w:val="24"/>
        </w:rPr>
        <w:t>等轨道交通装备的发展需求，突破低地板车辆技术及制约轨道交通装备发展的牵引传动、制动、控制系统等关键系统和核心部件的技术瓶颈，提升装备的轻量化、标准化、模块化、信息化、网络化、智能化水平，建设华南轨道交通装备制造产业群。</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（4）高端打印设备及环保型耗材</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按照“高端化、集群化、国际化”思路，以产业</w:t>
      </w:r>
      <w:proofErr w:type="gramStart"/>
      <w:r w:rsidRPr="004D46DB">
        <w:rPr>
          <w:rFonts w:ascii="宋体" w:eastAsia="宋体" w:hAnsi="宋体" w:hint="eastAsia"/>
          <w:sz w:val="24"/>
          <w:szCs w:val="24"/>
        </w:rPr>
        <w:t>链关键</w:t>
      </w:r>
      <w:proofErr w:type="gramEnd"/>
      <w:r w:rsidRPr="004D46DB">
        <w:rPr>
          <w:rFonts w:ascii="宋体" w:eastAsia="宋体" w:hAnsi="宋体" w:hint="eastAsia"/>
          <w:sz w:val="24"/>
          <w:szCs w:val="24"/>
        </w:rPr>
        <w:t>环节建设为途径，以重大项目和专业园区建设为抓手，围绕赛纳科技激光打印机制造的自主核心技术，重点推进集成电路设计技术、软件控制技术、激光扫描成像控制技术、驱动部件定位精度和</w:t>
      </w:r>
      <w:proofErr w:type="gramStart"/>
      <w:r w:rsidRPr="004D46DB">
        <w:rPr>
          <w:rFonts w:ascii="宋体" w:eastAsia="宋体" w:hAnsi="宋体" w:hint="eastAsia"/>
          <w:sz w:val="24"/>
          <w:szCs w:val="24"/>
        </w:rPr>
        <w:t>微胀度的</w:t>
      </w:r>
      <w:proofErr w:type="gramEnd"/>
      <w:r w:rsidRPr="004D46DB">
        <w:rPr>
          <w:rFonts w:ascii="宋体" w:eastAsia="宋体" w:hAnsi="宋体" w:hint="eastAsia"/>
          <w:sz w:val="24"/>
          <w:szCs w:val="24"/>
        </w:rPr>
        <w:t>控制技术等打印机核心技术的研究与开发，形成普通激光打印机、多功能激光打印机、彩色激光打印机等全系列产品。推广新材料和绿色环保技术，建立有序的耗材回收机制，鼓励再生耗材发展。</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（5）新能源汽车</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围绕</w:t>
      </w:r>
      <w:proofErr w:type="gramStart"/>
      <w:r w:rsidRPr="004D46DB">
        <w:rPr>
          <w:rFonts w:ascii="宋体" w:eastAsia="宋体" w:hAnsi="宋体" w:hint="eastAsia"/>
          <w:sz w:val="24"/>
          <w:szCs w:val="24"/>
        </w:rPr>
        <w:t>珠海银隆等</w:t>
      </w:r>
      <w:proofErr w:type="gramEnd"/>
      <w:r w:rsidRPr="004D46DB">
        <w:rPr>
          <w:rFonts w:ascii="宋体" w:eastAsia="宋体" w:hAnsi="宋体" w:hint="eastAsia"/>
          <w:sz w:val="24"/>
          <w:szCs w:val="24"/>
        </w:rPr>
        <w:t>新能源汽车产业龙头企业，建设广东省新能源客车战略性新兴产业基地。重点发展纯电动及混合动力汽车整车制造及动力电池、电机、电控等关键零部件产品制造，开展动力电池系统安全性、可靠性研究和轻量化设计，实现整车与系统集成、总线控制、智能感应及显示、动力电池关键材料生产及检测等新能源汽车关键共性技术的攻关，加快固定式整车</w:t>
      </w:r>
      <w:proofErr w:type="gramStart"/>
      <w:r w:rsidRPr="004D46DB">
        <w:rPr>
          <w:rFonts w:ascii="宋体" w:eastAsia="宋体" w:hAnsi="宋体" w:hint="eastAsia"/>
          <w:sz w:val="24"/>
          <w:szCs w:val="24"/>
        </w:rPr>
        <w:t>直流和</w:t>
      </w:r>
      <w:proofErr w:type="gramEnd"/>
      <w:r w:rsidRPr="004D46DB">
        <w:rPr>
          <w:rFonts w:ascii="宋体" w:eastAsia="宋体" w:hAnsi="宋体" w:hint="eastAsia"/>
          <w:sz w:val="24"/>
          <w:szCs w:val="24"/>
        </w:rPr>
        <w:t>移动式便携等多种</w:t>
      </w:r>
      <w:r w:rsidRPr="004D46DB">
        <w:rPr>
          <w:rFonts w:ascii="宋体" w:eastAsia="宋体" w:hAnsi="宋体" w:hint="eastAsia"/>
          <w:sz w:val="24"/>
          <w:szCs w:val="24"/>
        </w:rPr>
        <w:lastRenderedPageBreak/>
        <w:t>充电设备的发展，</w:t>
      </w:r>
    </w:p>
    <w:p w:rsidR="00090CE0" w:rsidRPr="004D46DB" w:rsidRDefault="00090CE0" w:rsidP="00654CEA">
      <w:pPr>
        <w:spacing w:line="360" w:lineRule="auto"/>
        <w:ind w:firstLineChars="200" w:firstLine="480"/>
        <w:rPr>
          <w:rFonts w:ascii="宋体" w:eastAsia="宋体" w:hAnsi="宋体"/>
          <w:sz w:val="24"/>
          <w:szCs w:val="24"/>
        </w:rPr>
      </w:pPr>
      <w:r>
        <w:rPr>
          <w:rFonts w:ascii="宋体" w:eastAsia="宋体" w:hAnsi="宋体" w:hint="eastAsia"/>
          <w:sz w:val="24"/>
          <w:szCs w:val="24"/>
        </w:rPr>
        <w:t xml:space="preserve"> </w:t>
      </w:r>
      <w:r w:rsidRPr="004D46DB">
        <w:rPr>
          <w:rFonts w:ascii="宋体" w:eastAsia="宋体" w:hAnsi="宋体" w:hint="eastAsia"/>
          <w:sz w:val="24"/>
          <w:szCs w:val="24"/>
        </w:rPr>
        <w:t>2、高新技术产业</w:t>
      </w:r>
    </w:p>
    <w:p w:rsidR="00090CE0" w:rsidRPr="004D46DB" w:rsidRDefault="00090CE0" w:rsidP="00090CE0">
      <w:pPr>
        <w:rPr>
          <w:rFonts w:ascii="宋体" w:eastAsia="宋体" w:hAnsi="宋体"/>
          <w:sz w:val="24"/>
          <w:szCs w:val="24"/>
        </w:rPr>
      </w:pPr>
      <w:r>
        <w:rPr>
          <w:rFonts w:ascii="宋体" w:eastAsia="宋体" w:hAnsi="宋体" w:hint="eastAsia"/>
          <w:sz w:val="24"/>
          <w:szCs w:val="24"/>
        </w:rPr>
        <w:t xml:space="preserve">   </w:t>
      </w:r>
      <w:r w:rsidRPr="004D46DB">
        <w:rPr>
          <w:rFonts w:ascii="宋体" w:eastAsia="宋体" w:hAnsi="宋体" w:hint="eastAsia"/>
          <w:sz w:val="24"/>
          <w:szCs w:val="24"/>
        </w:rPr>
        <w:t>（1）软件</w:t>
      </w:r>
    </w:p>
    <w:p w:rsidR="00090CE0" w:rsidRPr="004D46DB" w:rsidRDefault="00090CE0" w:rsidP="00B36A47">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提升我市工业软件与行业解决方案、嵌入式软件、信息安全软件等优势领域的竞争力，推进基础软件、数字内容加工处理、新兴信息技术服务等关键和新兴领域提速，培育移动互联网、物联网、云计算、大数据等先导产业。加快工业软件应用和产业化进程，推动工业软件在航空、航天、船舶、机械、汽车、石化、建材、电子等工业领域的广泛应用。面向工业装备、通信网络、汽车电子、消费电子、医疗电子、数控机床、电力电子、交通运输、环保监测等重点领域，积极开展符合开放标准的嵌入式软件开发平台、嵌入式操作系统和应用软件的开发，加快研发面向下一代互联网、物联网应用的嵌入式系统软件，尤其是系统单芯片和嵌入式软件融合技术，争取在智能电网行业关键技术和解决方案上有所突破。加强网络安全、数据安全、可信计算、安全测评等关键技术的研发与产业化。</w:t>
      </w:r>
    </w:p>
    <w:p w:rsidR="00090CE0" w:rsidRPr="004D46DB" w:rsidRDefault="00090CE0" w:rsidP="00090CE0">
      <w:pPr>
        <w:rPr>
          <w:rFonts w:ascii="宋体" w:eastAsia="宋体" w:hAnsi="宋体"/>
          <w:sz w:val="24"/>
          <w:szCs w:val="24"/>
        </w:rPr>
      </w:pPr>
      <w:r>
        <w:rPr>
          <w:rFonts w:ascii="宋体" w:eastAsia="宋体" w:hAnsi="宋体" w:hint="eastAsia"/>
          <w:sz w:val="24"/>
          <w:szCs w:val="24"/>
        </w:rPr>
        <w:t xml:space="preserve">   </w:t>
      </w:r>
      <w:r w:rsidRPr="004D46DB">
        <w:rPr>
          <w:rFonts w:ascii="宋体" w:eastAsia="宋体" w:hAnsi="宋体" w:hint="eastAsia"/>
          <w:sz w:val="24"/>
          <w:szCs w:val="24"/>
        </w:rPr>
        <w:t>（2）集成电路设计</w:t>
      </w:r>
    </w:p>
    <w:p w:rsidR="00090CE0" w:rsidRPr="004D46DB" w:rsidRDefault="00090CE0" w:rsidP="00B36A47">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围绕数字音视频处理、智能控制等重点领域，面向移动通信、高清晰度数字电视、消费电子产品、智能电网、智能玩具产品、打印机核心控制芯片等有珠海特色与优势的产业和市场，引导芯片设计与整机结合。重点开发数字音视频处理器芯片、移动通信终端基带芯片、手机电视核心芯片、数字家庭高</w:t>
      </w:r>
      <w:proofErr w:type="gramStart"/>
      <w:r w:rsidRPr="004D46DB">
        <w:rPr>
          <w:rFonts w:ascii="宋体" w:eastAsia="宋体" w:hAnsi="宋体" w:hint="eastAsia"/>
          <w:sz w:val="24"/>
          <w:szCs w:val="24"/>
        </w:rPr>
        <w:t>清网络</w:t>
      </w:r>
      <w:proofErr w:type="gramEnd"/>
      <w:r w:rsidRPr="004D46DB">
        <w:rPr>
          <w:rFonts w:ascii="宋体" w:eastAsia="宋体" w:hAnsi="宋体" w:hint="eastAsia"/>
          <w:sz w:val="24"/>
          <w:szCs w:val="24"/>
        </w:rPr>
        <w:t>电视核心芯片等产品，形成一批拥有核心技术的龙头企业和具有自主知识产权的产品。</w:t>
      </w:r>
    </w:p>
    <w:p w:rsidR="00090CE0" w:rsidRPr="004D46DB" w:rsidRDefault="00090CE0" w:rsidP="00B36A47">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构建较为完善的设计和测试环境，进一步强化和完善珠海南方集成电路设计服务中心的公共技术服务平台功能，促进中小设计企业创新发展。以国家高</w:t>
      </w:r>
      <w:proofErr w:type="gramStart"/>
      <w:r w:rsidRPr="004D46DB">
        <w:rPr>
          <w:rFonts w:ascii="宋体" w:eastAsia="宋体" w:hAnsi="宋体" w:hint="eastAsia"/>
          <w:sz w:val="24"/>
          <w:szCs w:val="24"/>
        </w:rPr>
        <w:t>新区主</w:t>
      </w:r>
      <w:proofErr w:type="gramEnd"/>
      <w:r w:rsidRPr="004D46DB">
        <w:rPr>
          <w:rFonts w:ascii="宋体" w:eastAsia="宋体" w:hAnsi="宋体" w:hint="eastAsia"/>
          <w:sz w:val="24"/>
          <w:szCs w:val="24"/>
        </w:rPr>
        <w:t>园区为主体，加快培育软件和集成电路设计产业集群。打造珠海市软件和集成电路设计产业高端环节集聚区和技术研发创新核心区。</w:t>
      </w:r>
    </w:p>
    <w:p w:rsidR="00090CE0" w:rsidRPr="004D46DB" w:rsidRDefault="00090CE0" w:rsidP="00090CE0">
      <w:pPr>
        <w:rPr>
          <w:rFonts w:ascii="宋体" w:eastAsia="宋体" w:hAnsi="宋体"/>
          <w:sz w:val="24"/>
          <w:szCs w:val="24"/>
        </w:rPr>
      </w:pPr>
      <w:r>
        <w:rPr>
          <w:rFonts w:ascii="宋体" w:eastAsia="宋体" w:hAnsi="宋体" w:hint="eastAsia"/>
          <w:sz w:val="24"/>
          <w:szCs w:val="24"/>
        </w:rPr>
        <w:t xml:space="preserve">   </w:t>
      </w:r>
      <w:r w:rsidRPr="004D46DB">
        <w:rPr>
          <w:rFonts w:ascii="宋体" w:eastAsia="宋体" w:hAnsi="宋体" w:hint="eastAsia"/>
          <w:sz w:val="24"/>
          <w:szCs w:val="24"/>
        </w:rPr>
        <w:t>(3)智能电网</w:t>
      </w:r>
    </w:p>
    <w:p w:rsidR="00090CE0" w:rsidRPr="004D46DB" w:rsidRDefault="00090CE0" w:rsidP="00B36A47">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以许继电气、优</w:t>
      </w:r>
      <w:proofErr w:type="gramStart"/>
      <w:r w:rsidRPr="004D46DB">
        <w:rPr>
          <w:rFonts w:ascii="宋体" w:eastAsia="宋体" w:hAnsi="宋体" w:hint="eastAsia"/>
          <w:sz w:val="24"/>
          <w:szCs w:val="24"/>
        </w:rPr>
        <w:t>特</w:t>
      </w:r>
      <w:proofErr w:type="gramEnd"/>
      <w:r w:rsidRPr="004D46DB">
        <w:rPr>
          <w:rFonts w:ascii="宋体" w:eastAsia="宋体" w:hAnsi="宋体" w:hint="eastAsia"/>
          <w:sz w:val="24"/>
          <w:szCs w:val="24"/>
        </w:rPr>
        <w:t>电力、兴业新能源等龙头企业为依托，在配电自动化、变电站综合自动化的基础上，进一步向分布式发电、用户需求侧管理、综合能源管理、高压大容量电力电子、设备状态监测等领域发展。建设高新区智能电网产业集群升级示范区，构建技术共享平台，加快发展智能电网科技企业孵化器、大学科技园等创新创业载体，积极推进以横琴岛为试点的智能电网示范项目建设，推进兴业绿色建筑“基于智能微电网技术的多能源互补电力网”项目建设。</w:t>
      </w:r>
    </w:p>
    <w:p w:rsidR="00090CE0" w:rsidRPr="004D46DB" w:rsidRDefault="00090CE0" w:rsidP="00090CE0">
      <w:pPr>
        <w:rPr>
          <w:rFonts w:ascii="宋体" w:eastAsia="宋体" w:hAnsi="宋体"/>
          <w:sz w:val="24"/>
          <w:szCs w:val="24"/>
        </w:rPr>
      </w:pPr>
      <w:r w:rsidRPr="004D46DB">
        <w:rPr>
          <w:rFonts w:ascii="宋体" w:eastAsia="宋体" w:hAnsi="宋体" w:hint="eastAsia"/>
          <w:sz w:val="24"/>
          <w:szCs w:val="24"/>
        </w:rPr>
        <w:t xml:space="preserve">   （4）生物医药产与医疗器械</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lastRenderedPageBreak/>
        <w:t>统筹规划建设生物医药园区，实行整体规划、分步实施、滚动发展。重点抓好粤澳合作横琴中医药科技产业园 、金湾生物医药产业园、富山生物医药产业园、唐家湾医疗器械研发生产基地、万山海洋生物培育基地等“三园区两基地”的建设。加快南医大生物医药研发平台建设，为生物医药企业提供包括研发外包、检验检测、中试孵化等公共技术服务。加快推进广东省药品审评分中心和广东省药品不良反应监测分中心建立。探索建设国家级口岸药检所和新药临床试验平台。</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鼓励生物医药企业重点攻克生物制药产业化关键技术，发展单克隆抗体、基因工程、干细胞与组织工程药物、PCR技术、生物芯片技术为重点的生物技术药物及新型疫苗，发展重大传染疾病快速检测试剂、血液检测系列配套试剂等重点产品。在医疗器械领域，重点发展新型体外诊断试剂与仪器、中高端影像设备、监护设备、血液灌流器、微创无创诊疗设备，加快大型诊疗设备国产化转化。积极引进数字化诊断设备、医用仪器生产重大项目及制造企业。</w:t>
      </w:r>
    </w:p>
    <w:p w:rsidR="00EE4726" w:rsidRDefault="00090CE0" w:rsidP="00090CE0">
      <w:pPr>
        <w:spacing w:line="360" w:lineRule="auto"/>
        <w:ind w:firstLineChars="200" w:firstLine="480"/>
        <w:rPr>
          <w:rFonts w:ascii="宋体" w:eastAsia="宋体" w:hAnsi="宋体" w:hint="eastAsia"/>
          <w:sz w:val="24"/>
          <w:szCs w:val="24"/>
        </w:rPr>
      </w:pPr>
      <w:r w:rsidRPr="004D46DB">
        <w:rPr>
          <w:rFonts w:ascii="宋体" w:eastAsia="宋体" w:hAnsi="宋体" w:hint="eastAsia"/>
          <w:sz w:val="24"/>
          <w:szCs w:val="24"/>
        </w:rPr>
        <w:t>(5)新材料。</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以高栏港经济区石化基地为主要载体，围绕精细化、专用化、功能化的发展趋势，重点发展芳纶等高性能纤维、可生物降解聚合物材料和以橡胶加工、橡胶密封条、水处理用膜材料和功能性包装材料等新型化工材料。依托珠海航空产业园，与国内外航空企业合作，参与航空材料研制和生产。加快耐高温、低电阻隔膜和电解液的开发，积极开发新一代</w:t>
      </w:r>
      <w:proofErr w:type="gramStart"/>
      <w:r w:rsidRPr="004D46DB">
        <w:rPr>
          <w:rFonts w:ascii="宋体" w:eastAsia="宋体" w:hAnsi="宋体" w:hint="eastAsia"/>
          <w:sz w:val="24"/>
          <w:szCs w:val="24"/>
        </w:rPr>
        <w:t>锂</w:t>
      </w:r>
      <w:proofErr w:type="gramEnd"/>
      <w:r w:rsidRPr="004D46DB">
        <w:rPr>
          <w:rFonts w:ascii="宋体" w:eastAsia="宋体" w:hAnsi="宋体" w:hint="eastAsia"/>
          <w:sz w:val="24"/>
          <w:szCs w:val="24"/>
        </w:rPr>
        <w:t>离子动力电池及材料，引导产业链上下游密切合作，建立较为完整的动力锂电池产业链。推进新材料技术在研发、转化、产业化等环节和链条上的完善，使区域实现由单一的生产制造基地向制造与服务相融合的新材料技术产业基地的功能转变，提升珠海新材料产业对外辐射功能。</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3、高端服务业</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（1）工业设计</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扶持南方工业设计可视化服务中心发展，鼓励和支持工业设计公共服务平台为汽车、飞机、鞋类、箱包、游艇等生产行业提供专业化的工业设计服务。探索设立工业设计发展专项资金，支持工业设计企业开拓市场，提高自主创新能力，将具有自主知识产权的工业设计成果产业化。重点将工业设计与产业发展相结合，以“设计产业化”与“设计人才职业化”为目标，推进珠海工业设计产业发展。</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（2）科技服务业</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lastRenderedPageBreak/>
        <w:t>鼓励各类提供技术和产品研发、创新活动开展手段支持、咨询、评估、技术交易、知识产权等服务内容的服务机构的发展，为这类机构在珠海的发展创造宽松的政策，提供服务保障、财政支持。鼓励各类基础性、公益性科技支撑服务机构的发展，形成全社会良好的科技氛围。积极推动珠海与港澳地区的科技服务领域的人才和技术交流，鼓励本地科技服务机构与港澳地区相关机构合作开展技术攻关、人才培训、技术咨询、战略研究等活动。引导国外</w:t>
      </w:r>
      <w:proofErr w:type="gramStart"/>
      <w:r w:rsidRPr="004D46DB">
        <w:rPr>
          <w:rFonts w:ascii="宋体" w:eastAsia="宋体" w:hAnsi="宋体" w:hint="eastAsia"/>
          <w:sz w:val="24"/>
          <w:szCs w:val="24"/>
        </w:rPr>
        <w:t>知名科技</w:t>
      </w:r>
      <w:proofErr w:type="gramEnd"/>
      <w:r w:rsidRPr="004D46DB">
        <w:rPr>
          <w:rFonts w:ascii="宋体" w:eastAsia="宋体" w:hAnsi="宋体" w:hint="eastAsia"/>
          <w:sz w:val="24"/>
          <w:szCs w:val="24"/>
        </w:rPr>
        <w:t>服务机构在我市设立分支机构或共建联合实验室、研发中心、技术转移机构、咨询机构。</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（3）电子商务</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推进电子商务的广泛应用，</w:t>
      </w:r>
      <w:proofErr w:type="gramStart"/>
      <w:r w:rsidRPr="004D46DB">
        <w:rPr>
          <w:rFonts w:ascii="宋体" w:eastAsia="宋体" w:hAnsi="宋体" w:hint="eastAsia"/>
          <w:sz w:val="24"/>
          <w:szCs w:val="24"/>
        </w:rPr>
        <w:t>促进业</w:t>
      </w:r>
      <w:proofErr w:type="gramEnd"/>
      <w:r w:rsidRPr="004D46DB">
        <w:rPr>
          <w:rFonts w:ascii="宋体" w:eastAsia="宋体" w:hAnsi="宋体" w:hint="eastAsia"/>
          <w:sz w:val="24"/>
          <w:szCs w:val="24"/>
        </w:rPr>
        <w:t>态创新。开展电子商务应用示范企业认定，培育一批市场竞争力强、社会知名度高、在行业发展中居于领先地位的电子商务应用示范企业；继续开展广货网上行的活动；支持企业新建或完善具有独立法人的电子商务应用平台，建设市场前景好，技术含量高的电子商务产业化项目；鼓励我市中小</w:t>
      </w:r>
      <w:proofErr w:type="gramStart"/>
      <w:r w:rsidRPr="004D46DB">
        <w:rPr>
          <w:rFonts w:ascii="宋体" w:eastAsia="宋体" w:hAnsi="宋体" w:hint="eastAsia"/>
          <w:sz w:val="24"/>
          <w:szCs w:val="24"/>
        </w:rPr>
        <w:t>微企业</w:t>
      </w:r>
      <w:proofErr w:type="gramEnd"/>
      <w:r w:rsidRPr="004D46DB">
        <w:rPr>
          <w:rFonts w:ascii="宋体" w:eastAsia="宋体" w:hAnsi="宋体" w:hint="eastAsia"/>
          <w:sz w:val="24"/>
          <w:szCs w:val="24"/>
        </w:rPr>
        <w:t>运用第三方电子商务服务平台开展在线销售、采购等经营活动，开拓国内外市场；建设电子商务综合服务中心，推动海纳城建设项目，引进部分主流平台认可的电子商务服务商进驻，为珠海企业提供一站式电子商务配套服务平台；提高企业应用电子商务的能力，孵化本地服务商</w:t>
      </w:r>
      <w:proofErr w:type="gramStart"/>
      <w:r w:rsidRPr="004D46DB">
        <w:rPr>
          <w:rFonts w:ascii="宋体" w:eastAsia="宋体" w:hAnsi="宋体" w:hint="eastAsia"/>
          <w:sz w:val="24"/>
          <w:szCs w:val="24"/>
        </w:rPr>
        <w:t>及网商品牌</w:t>
      </w:r>
      <w:proofErr w:type="gramEnd"/>
      <w:r w:rsidRPr="004D46DB">
        <w:rPr>
          <w:rFonts w:ascii="宋体" w:eastAsia="宋体" w:hAnsi="宋体" w:hint="eastAsia"/>
          <w:sz w:val="24"/>
          <w:szCs w:val="24"/>
        </w:rPr>
        <w:t>。</w:t>
      </w:r>
    </w:p>
    <w:p w:rsidR="00090CE0" w:rsidRPr="004D46DB" w:rsidRDefault="00090CE0" w:rsidP="00E67287">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4、特色海洋经济和生态农业</w:t>
      </w:r>
    </w:p>
    <w:p w:rsidR="00090CE0" w:rsidRPr="004D46DB" w:rsidRDefault="00090CE0" w:rsidP="00E67287">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（1）海洋装备</w:t>
      </w:r>
    </w:p>
    <w:p w:rsidR="00090CE0" w:rsidRPr="004D46DB" w:rsidRDefault="00090CE0" w:rsidP="00E67287">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围绕深水油气田在勘探、开发、生产、服务、储存和运输五个核心环节的装备需求，突破海洋工程装备的前端工程设计和基本设计、大型平台油气生产功能模块设计、海洋工程装备建造、安装调试技术和项目管理、装备和设备的安全可靠性等基础技术，研制海洋工程装备关键系统和设备、系列化船用低中高速柴油机及关键部套件，推动优势配套产品智能化、集成化发展，形成研发、制造、配套产业链。重点建设“中海油深水海洋工程装备珠海基地”、“三一海洋重工产业园一期”、“珠江钢管二期”、“瓦锡兰中速船用柴油机”等项目。</w:t>
      </w:r>
    </w:p>
    <w:p w:rsidR="00090CE0" w:rsidRPr="004D46DB" w:rsidRDefault="00090CE0" w:rsidP="00E67287">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（2）游艇制造</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依托平沙游艇与休闲旅游区的游艇产业基础，以整船设计和制造为核心和起步点，推动豪华游船、游艇及配套设备和各类帆船等产品的研发和制造，引进上下游产业和关键零部件制造企业，打造特色鲜明、布局合理、产业链条完整的游</w:t>
      </w:r>
      <w:r w:rsidRPr="004D46DB">
        <w:rPr>
          <w:rFonts w:ascii="宋体" w:eastAsia="宋体" w:hAnsi="宋体" w:hint="eastAsia"/>
          <w:sz w:val="24"/>
          <w:szCs w:val="24"/>
        </w:rPr>
        <w:lastRenderedPageBreak/>
        <w:t>艇产业发展格局，形成具有世界影响力的游艇产业基地。发展游艇配套服务业，打造国内外有影响力的游艇消费中心。</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（3）特色农业</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重点依托斗门生态农业园、金湾台湾农民创业园和万山现代海洋渔业区三个现代农业园区，发展健康水产、优质水稻、精品花卉苗木、名优水果、特色蔬菜、生态休闲观光旅游农业和</w:t>
      </w:r>
      <w:proofErr w:type="gramStart"/>
      <w:r w:rsidRPr="004D46DB">
        <w:rPr>
          <w:rFonts w:ascii="宋体" w:eastAsia="宋体" w:hAnsi="宋体" w:hint="eastAsia"/>
          <w:sz w:val="24"/>
          <w:szCs w:val="24"/>
        </w:rPr>
        <w:t>高端种</w:t>
      </w:r>
      <w:proofErr w:type="gramEnd"/>
      <w:r w:rsidRPr="004D46DB">
        <w:rPr>
          <w:rFonts w:ascii="宋体" w:eastAsia="宋体" w:hAnsi="宋体" w:hint="eastAsia"/>
          <w:sz w:val="24"/>
          <w:szCs w:val="24"/>
        </w:rPr>
        <w:t>业。建立以市级科研、推广机构为主导和面向市场相结合的多元化的科技创新体系。鼓励农业科研、推广单位、企业建立并加强产学研合作，引导农业企业参与农业科技创新，支持农业龙头企业加强实验室等技术研发和创新平台建设。大力加强农产品安全生产与质量控制技术、农产品产后处理和精深加工技术。培育一批具有重大应用前景和自主知识产权的突破性优良品种。</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(三)推进科技与金融紧密结合</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1、搭建金融服务平台和建立多层次创业投融资体系</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引导设立“科技金融网上超市”和“科技金融俱乐部”，实现科技金融的线上无缝对接、线下面对面对接。制定优惠政策，鼓励设立风险投资、创业投资、私募股权、基金信托等创新型金融机构，引导社会资本投向高新技术产业和战略性新兴产业。设立财政风险投资“母基金”，投资风险投资企业，探索投资风险多方分担的新模式。引进广东粤科风投集团服务平台，推动科技企业与粤</w:t>
      </w:r>
      <w:proofErr w:type="gramStart"/>
      <w:r w:rsidRPr="004D46DB">
        <w:rPr>
          <w:rFonts w:ascii="宋体" w:eastAsia="宋体" w:hAnsi="宋体" w:hint="eastAsia"/>
          <w:sz w:val="24"/>
          <w:szCs w:val="24"/>
        </w:rPr>
        <w:t>科风投</w:t>
      </w:r>
      <w:proofErr w:type="gramEnd"/>
      <w:r w:rsidRPr="004D46DB">
        <w:rPr>
          <w:rFonts w:ascii="宋体" w:eastAsia="宋体" w:hAnsi="宋体" w:hint="eastAsia"/>
          <w:sz w:val="24"/>
          <w:szCs w:val="24"/>
        </w:rPr>
        <w:t>集团建立长效对接机制。扩大知识产权质押融资、中小企业集合信托计划等规模，扶持高新技术企业成长。加快推进组建银行设立科技金融支行或科技金融专营机构，成立市科技型中小企业投融资服务中心、政策性小额贷款公司、政策性融资性担保公司（科技再担保公司），加大对科技型企业融资支持。</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2、加强科技型企业上市培育工作力度</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加快推进高新区申报国家新三板试点。完善企业上市扶持政策，制定扶持企业上市财政补贴制度，提高企业上市积极性。创新培育上市企业梯队各项措施：实施市领导联系重点拟上市企业制度，完善“绿色通道证”服务制度，强化部门联动。挖掘和储备一批重点扶持的科技型中小企业，认定一批金融合作机构，组织金融机构与企业对接，引入科研机构研发成果与企业嫁接，从而加快一批科技型中小企业成长。</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lastRenderedPageBreak/>
        <w:t xml:space="preserve">    3、加大财政资金引导作用</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设立担保“基金池”，给予担保机构一定的风险补偿，增强担保机构抗风险能力。加大“四位一体”融资平台对科技型企业支持力度，担保贷款风险准备金最高可达20%、贴息比例最高可达50%、对单个企业每年贷款贴息最高可达50万元。进一步做大高新区“成长之翼”融资平台，对科技型企业贷款给予全额担保费用补贴，对贷款利率上浮低于20%的银行给予奖励，提高金融机构为科技型企业发放贷款积极性。</w:t>
      </w:r>
    </w:p>
    <w:p w:rsidR="00090CE0" w:rsidRPr="004D46DB" w:rsidRDefault="00090CE0" w:rsidP="00090CE0">
      <w:pPr>
        <w:spacing w:line="360" w:lineRule="auto"/>
        <w:rPr>
          <w:rFonts w:ascii="宋体" w:eastAsia="宋体" w:hAnsi="宋体"/>
          <w:sz w:val="24"/>
          <w:szCs w:val="24"/>
        </w:rPr>
      </w:pPr>
      <w:r>
        <w:rPr>
          <w:rFonts w:ascii="宋体" w:eastAsia="宋体" w:hAnsi="宋体" w:hint="eastAsia"/>
          <w:sz w:val="24"/>
          <w:szCs w:val="24"/>
        </w:rPr>
        <w:t xml:space="preserve">   </w:t>
      </w:r>
      <w:r w:rsidRPr="004D46DB">
        <w:rPr>
          <w:rFonts w:ascii="宋体" w:eastAsia="宋体" w:hAnsi="宋体" w:hint="eastAsia"/>
          <w:sz w:val="24"/>
          <w:szCs w:val="24"/>
        </w:rPr>
        <w:t>（四）加快建设国家知识产权试点城市</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1、激励知识产权创造</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完善专利奖励机制，优化专利资助政策，提升专利创造能力，提升专利质量。鼓励企业拥有高附加值的专利以及核心专利权的产品，促进企业转变发展方式。实施商标战略，增强企业商标意识，引导企业加强自主品牌建设，鼓励境外商标注册，提升珠海品牌的国际形象。促进版权产业发展，推进“版权兴业工程”，扶持骨干版权企业，培育“版权兴业”示范基地，打造版权知名品牌。</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2、促进知识产权运用</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制定珠海市知识产权质押融资政策，鼓励金融机构建立健全知识产权质押融资管理体系，开展知识产权质押融资。健全知识产权转化交易机制，依托“珠海市创新成果公共服务平台”，为企业提供专利交易信息。深化知识产权信息利用，鼓励中介机构开展打印耗材等重点行业专利信息的检索、加工、分析和专利布局、预警、战略制定等服务。培育知识产权试点示范企业，鼓励和支持企业建立健全知识产权管理制度，培育一批国家、省和市知识产权试点、示范企业。</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3、加强知识产权保护</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加强知识产权行政保护，推进知识产权行政执法下移至各行政区，建立专项执法与常态监管相结合、</w:t>
      </w:r>
      <w:proofErr w:type="gramStart"/>
      <w:r w:rsidRPr="004D46DB">
        <w:rPr>
          <w:rFonts w:ascii="宋体" w:eastAsia="宋体" w:hAnsi="宋体" w:hint="eastAsia"/>
          <w:sz w:val="24"/>
          <w:szCs w:val="24"/>
        </w:rPr>
        <w:t>单部门</w:t>
      </w:r>
      <w:proofErr w:type="gramEnd"/>
      <w:r w:rsidRPr="004D46DB">
        <w:rPr>
          <w:rFonts w:ascii="宋体" w:eastAsia="宋体" w:hAnsi="宋体" w:hint="eastAsia"/>
          <w:sz w:val="24"/>
          <w:szCs w:val="24"/>
        </w:rPr>
        <w:t>执法与多部门联动相结合、政府监管与行业协会自律相结合、行政执法与调节相结合的立体保护模式。加强知识产权司法保护，综合运用刑事、民事和行政三种审判职能，强化打击假冒专利、商标、著作权、商业秘密等违法犯罪行为的力度。推进行政执法和刑事司法相衔接，健全知识产权行政执法和刑事司法相衔接工作机制，畅通行政执法部门与公安机关的犯罪线索移送渠道。加大海关知识产权保护力度，加强对珠海本土企业知识产权海关备</w:t>
      </w:r>
      <w:r w:rsidRPr="004D46DB">
        <w:rPr>
          <w:rFonts w:ascii="宋体" w:eastAsia="宋体" w:hAnsi="宋体" w:hint="eastAsia"/>
          <w:sz w:val="24"/>
          <w:szCs w:val="24"/>
        </w:rPr>
        <w:lastRenderedPageBreak/>
        <w:t>案的宣传，打击进出口侵犯知识产权违法犯罪行为。</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4、增强知识产权管理</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成立珠海市创建国家知识产权试点城市工作领导小组，统筹、协调、检查全市知识产权试点城市创建工作。建立健全适应我市经济科技发展需要的知识产权政策法规体系。利用国家、省知识产权信息资源，完善专利等信息综合服务平台。发展知识产权服务业，培育和引进知识产权代理机构，鼓励代理机构开展知识产权资产评估、交易及知识产权信息服务业务。开展知识产权对外交流与合作，学习和借鉴发达国家和地区在知识产权保护与管理方面的先进经验，提高涉外知识产权管理的能力和水平。</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（五）优化创新人才环境</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1、实施“蓝色珠海高层次人才计划”</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重点引进具有国内外领先水平的创新创业人才和创新创业团队，对被评为我市高层次创新、创业人才且符合相关条件的，可享受项目经费补贴、工作场地租金补贴、研发费用补贴、住房保障、工作津贴补助等优惠政策，并在子女入学、配偶就业、补充养老保险和特定医疗保障等方面享受相关待遇。引进的创新、创业团队可按规定享受科技和金融结合的贷款贴息、无息借款、科技保险、再担保、股权投资等无偿资助和投融资资助，项目经费补贴，工作场地租金补贴，研发费用补贴等支持，并优先推荐申报广东省创新创业团队引进计划。</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2、优化科技人才创新创业环境</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加大对中国珠海留学人员创业园的扶持力度，建立创业快速通道，为人才创业从企业注册、场地租赁到人事关系办理等提供全程服务。设立科技工作者专项资助资金，对科技人才参加国内外高层次学术会议、出版科技著作等进行资助。通过积极创办政府引导、行业协会主导的各类“企业家沙龙”、“博士俱乐部”等交流平台，形成企业家群体效应，营造企业家创新创业氛围。</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3、优化科技人才公共服务环境</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建立领导干部与高层次科技人才挂点联系制度。加快推动我市建立“一站式”科技人才服务机制，实行“一站式受理、一次性告知、一条龙服务”。建立科技人才服务联席会议制度，协调涉及人才的各个相关职能部门，共同打造引进高层次科技人才服务“绿色通道”。  </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lastRenderedPageBreak/>
        <w:t xml:space="preserve">    4、积极推进横琴新区“人才特区”建设</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贯彻落实《横琴总体发展规划》，按照“政府引导、市场主导、企业主体、人才主角”的基本思路，研究制定具有珠海特色、符合发展定位的横琴“人才特区”政策，加快推进横琴“人才特区”建设，打造国际化人才高地，把横琴建设成为辐射珠三角、服务港澳、率先发展的粤港澳人才合作示范区。</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5、加强人才的引进和培育力度</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发挥大学园区各高校的教育优势，针对珠海优势产业设立相关专业，加快职业技术学校和职业技能培训机构的建设步伐。实施以 (TRIZ)为核心内容的技术创新方法培训工程，通过大规模技术创新方法培训，培养一批掌握科学思维、科学方法和科学工具的创新型人才。引导我市大型企业通过在大学设立专项奖学金等方式，定点定向培养创新型人才。</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（六）切实加强民生领域科技创新</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应用新一代信息技术手段，积极实施以建设智慧城市为目标的信息化应用示范工程，加快民生领域科技创新，提升城市生活品质，建设国内一流的智慧城市。</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1、完善社会保障领域信息化</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建设市、区、街道、社区四级社会保障信息网络，建设以服务窗口、互联网、手机、家庭有线电视终端和社区显示屏“五位一体”的全方位社会保障数字化宣传和自助办理服务系统；实现社保卡在社会保障及居民健康、惠民待遇发放等服务领域的推广与应用，推动跨地区</w:t>
      </w:r>
      <w:proofErr w:type="gramStart"/>
      <w:r w:rsidRPr="004D46DB">
        <w:rPr>
          <w:rFonts w:ascii="宋体" w:eastAsia="宋体" w:hAnsi="宋体" w:hint="eastAsia"/>
          <w:sz w:val="24"/>
          <w:szCs w:val="24"/>
        </w:rPr>
        <w:t>医</w:t>
      </w:r>
      <w:proofErr w:type="gramEnd"/>
      <w:r w:rsidRPr="004D46DB">
        <w:rPr>
          <w:rFonts w:ascii="宋体" w:eastAsia="宋体" w:hAnsi="宋体" w:hint="eastAsia"/>
          <w:sz w:val="24"/>
          <w:szCs w:val="24"/>
        </w:rPr>
        <w:t>保费用与中央和省级结算信息平台联网，通过制定跨地区的</w:t>
      </w:r>
      <w:proofErr w:type="gramStart"/>
      <w:r w:rsidRPr="004D46DB">
        <w:rPr>
          <w:rFonts w:ascii="宋体" w:eastAsia="宋体" w:hAnsi="宋体" w:hint="eastAsia"/>
          <w:sz w:val="24"/>
          <w:szCs w:val="24"/>
        </w:rPr>
        <w:t>医</w:t>
      </w:r>
      <w:proofErr w:type="gramEnd"/>
      <w:r w:rsidRPr="004D46DB">
        <w:rPr>
          <w:rFonts w:ascii="宋体" w:eastAsia="宋体" w:hAnsi="宋体" w:hint="eastAsia"/>
          <w:sz w:val="24"/>
          <w:szCs w:val="24"/>
        </w:rPr>
        <w:t>保社保联网结算标准规范实现就医费用</w:t>
      </w:r>
      <w:proofErr w:type="gramStart"/>
      <w:r w:rsidRPr="004D46DB">
        <w:rPr>
          <w:rFonts w:ascii="宋体" w:eastAsia="宋体" w:hAnsi="宋体" w:hint="eastAsia"/>
          <w:sz w:val="24"/>
          <w:szCs w:val="24"/>
        </w:rPr>
        <w:t>医</w:t>
      </w:r>
      <w:proofErr w:type="gramEnd"/>
      <w:r w:rsidRPr="004D46DB">
        <w:rPr>
          <w:rFonts w:ascii="宋体" w:eastAsia="宋体" w:hAnsi="宋体" w:hint="eastAsia"/>
          <w:sz w:val="24"/>
          <w:szCs w:val="24"/>
        </w:rPr>
        <w:t>保持卡即时结算。</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2、提高医疗卫生领域信息化水平</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建设覆盖全市医疗卫生机构的医疗卫生信息网络，加快区域卫生信息化建设，建立和完善区域卫生信息化标准体系。建立医疗卫生数据中心，构建数据交换与信息共享平台，实现全市各级各类医疗卫生机构的互联互通和资源共享，提高医疗卫生资源使用效益。推广以社保卡（市民卡）为基础的医疗卫生</w:t>
      </w:r>
      <w:proofErr w:type="gramStart"/>
      <w:r w:rsidRPr="004D46DB">
        <w:rPr>
          <w:rFonts w:ascii="宋体" w:eastAsia="宋体" w:hAnsi="宋体" w:hint="eastAsia"/>
          <w:sz w:val="24"/>
          <w:szCs w:val="24"/>
        </w:rPr>
        <w:t>一</w:t>
      </w:r>
      <w:proofErr w:type="gramEnd"/>
      <w:r w:rsidRPr="004D46DB">
        <w:rPr>
          <w:rFonts w:ascii="宋体" w:eastAsia="宋体" w:hAnsi="宋体" w:hint="eastAsia"/>
          <w:sz w:val="24"/>
          <w:szCs w:val="24"/>
        </w:rPr>
        <w:t>卡通应用，推动居民健康档案普及，建立网络、手机等健康信息自主管理和服务渠道。拓展协同信息平台功能，全面推动病历诊疗信息联网跨院互认、</w:t>
      </w:r>
      <w:proofErr w:type="gramStart"/>
      <w:r w:rsidRPr="004D46DB">
        <w:rPr>
          <w:rFonts w:ascii="宋体" w:eastAsia="宋体" w:hAnsi="宋体" w:hint="eastAsia"/>
          <w:sz w:val="24"/>
          <w:szCs w:val="24"/>
        </w:rPr>
        <w:t>一</w:t>
      </w:r>
      <w:proofErr w:type="gramEnd"/>
      <w:r w:rsidRPr="004D46DB">
        <w:rPr>
          <w:rFonts w:ascii="宋体" w:eastAsia="宋体" w:hAnsi="宋体" w:hint="eastAsia"/>
          <w:sz w:val="24"/>
          <w:szCs w:val="24"/>
        </w:rPr>
        <w:t>卡通预约挂号支付转诊等诊疗一体化工作，打造区域整合的预约挂号、电子病历、远程会诊、双向转诊等便民医疗信息服务应用体系。进一步推进公共卫生事件应急指挥、预防控</w:t>
      </w:r>
      <w:r w:rsidRPr="004D46DB">
        <w:rPr>
          <w:rFonts w:ascii="宋体" w:eastAsia="宋体" w:hAnsi="宋体" w:hint="eastAsia"/>
          <w:sz w:val="24"/>
          <w:szCs w:val="24"/>
        </w:rPr>
        <w:lastRenderedPageBreak/>
        <w:t>制、卫生监督执法、医疗救治、妇幼保健、健康教育等信息系统和数字化医院的建设，提高医疗卫生的服务、管理和决策水平。</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3、推动优质教育资源共享</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加强数字化教育资源的建设、整合和共享，深化信息技术在教育教学中的应用，为社会公众提供优质教育资源的网络服务。建设并优化教育管理信息系统，为社会公众提供及时准确的招生就读、名校名师等教育信息服务。积极推进数字化校园建设，建设15所“智慧校园”和“粤教云”计划应用试点校，构建云、</w:t>
      </w:r>
      <w:proofErr w:type="gramStart"/>
      <w:r w:rsidRPr="004D46DB">
        <w:rPr>
          <w:rFonts w:ascii="宋体" w:eastAsia="宋体" w:hAnsi="宋体" w:hint="eastAsia"/>
          <w:sz w:val="24"/>
          <w:szCs w:val="24"/>
        </w:rPr>
        <w:t>端结合</w:t>
      </w:r>
      <w:proofErr w:type="gramEnd"/>
      <w:r w:rsidRPr="004D46DB">
        <w:rPr>
          <w:rFonts w:ascii="宋体" w:eastAsia="宋体" w:hAnsi="宋体" w:hint="eastAsia"/>
          <w:sz w:val="24"/>
          <w:szCs w:val="24"/>
        </w:rPr>
        <w:t>的多模式教学环境和公共服务平台，推动教育信息化向以用户为中心的服务模式转变，促进信息技术与教育的深度融合。探索基于“粤教云”平台的资源汇聚与共享机制，提供超市式数字教育资源云服务，形成“企业竞争提供、政府评估准入、学校自主选择”的资源建设新机制，促进区域数字化教育资源开发与应用。</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4、提升公共安全服务</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在公共安全领域，以现有的公共安全视频图像信息源为基础，整合从城区到乡村、从陆地到海洋的公共视频图像信息以及社区安防监控视频图像信息，拓展政府、民众对视频图像信息的综合应用，形成公共安全信息化支撑、服务体系，力争主城区实现重要公共视频资源共享应用、立体化综合防控体系。</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5、推广数字化社区建设</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 xml:space="preserve">    建设与完善社区信息化基础设施，构建联通市、区、街道、社区四级的网络平台，建立开放式的社区综合信息平台和分布式数据中心。建立社区信息资源共享机制，整合各类社区信息资源，形成社区信息资源的目录体系。逐步推进电子政务各垂直信息系统的业务协同和资源共享，将政府服务延伸到街道、社区。加强便民服务建设。推进社区服务网站、信息服务自助终端、多功能金融服务终端、社区服务电子告示牌等便民信息服务设施建设。加快住宅小区智能化建设。推广新建楼宇的综合布线系统和已建小区的信息化改造，实现宽带到户。普及非法侵入监控的门禁系统、火灾监控系统、老人小孩异常监测与护理、物业管理系统等各类公共设施智能化管理系统。推进购物消费、医疗卫生、科技、文化教育、休闲娱乐、社保、家政服务等网络化应用服务，促进信息化进入社区与家庭，让公众充分享受数字生活。</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（七）优化创新文化环境</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lastRenderedPageBreak/>
        <w:t>1、弘扬创新精神</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大力宣传在自主创新中涌现出的先进人物和先进典型，特别是科技创新的领军人物，引导和鼓励科技人员创新创业。积极倡导创新价值观，形成尊重知识、尊重人才、鼓励创新、宽容失败的创新氛围。大力提倡团结协作、开放包容、博采众长、兼容并蓄的团队精神。发挥政府奖励的引导作用，对在自主创新工作中做出突出贡献的人员给予重奖。</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2、推进科普工作。全面实施《全民科学素质纲要》，实施科普示范工程，健全科普工作政策法规体系和联席会议制度。拓展社区科普工作的内容和形式，建立科普工作社会化服务体系。各级政府财政应按人均不少于1.5元/人•年的标准足额安排科普经费，鼓励国内外企业、社会团体和个人支持科普事业，形成多渠道科普工作投入体系。积极开展有影响、有特色、效果好的各类科普活动。各级科协等社会组织要积极举办科普展览、讲座，建设科普画廊、科普基地。办好科技进步活动月，针对不同的社会群体开展各种方式的科普活动。实施科普志愿者行动，努力吸引各类专业人员参与科普工作。</w:t>
      </w:r>
    </w:p>
    <w:p w:rsidR="00090CE0" w:rsidRPr="004D46DB" w:rsidRDefault="00090CE0" w:rsidP="00090CE0">
      <w:pPr>
        <w:spacing w:line="360" w:lineRule="auto"/>
        <w:rPr>
          <w:rFonts w:ascii="宋体" w:eastAsia="宋体" w:hAnsi="宋体"/>
          <w:sz w:val="24"/>
          <w:szCs w:val="24"/>
        </w:rPr>
      </w:pPr>
      <w:r w:rsidRPr="004D46DB">
        <w:rPr>
          <w:rFonts w:ascii="宋体" w:eastAsia="宋体" w:hAnsi="宋体" w:hint="eastAsia"/>
          <w:sz w:val="24"/>
          <w:szCs w:val="24"/>
        </w:rPr>
        <w:t>三、保障措施</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（一）加强组织领导</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完善自主创新联席会议制度，加强科技与发改、人事、财政、国土、金融、税务等部门以及区级政府的沟通和协调，形成部门联动、市区联动机制，整合各方面的资源，形成创新合力。建立领导目标责任制，使各级、各部门的负责人，特别是一把手将科技进步作为地区经济发展和提高竞争力的关键环节来抓，做到领导到位、责任到位、措施到位。</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（二）强化资金保障</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 xml:space="preserve">    按照“市区联动、以区为主、属地管理、切块使用”的原则，在整合现有科技财政资金的基础上，从2014年—2016年，市、区两级财政三年投入科技研发费用不少于24亿元（根据</w:t>
      </w:r>
      <w:proofErr w:type="gramStart"/>
      <w:r w:rsidRPr="004D46DB">
        <w:rPr>
          <w:rFonts w:ascii="宋体" w:eastAsia="宋体" w:hAnsi="宋体" w:hint="eastAsia"/>
          <w:sz w:val="24"/>
          <w:szCs w:val="24"/>
        </w:rPr>
        <w:t>市财局提供</w:t>
      </w:r>
      <w:proofErr w:type="gramEnd"/>
      <w:r w:rsidRPr="004D46DB">
        <w:rPr>
          <w:rFonts w:ascii="宋体" w:eastAsia="宋体" w:hAnsi="宋体" w:hint="eastAsia"/>
          <w:sz w:val="24"/>
          <w:szCs w:val="24"/>
        </w:rPr>
        <w:t>2015年全市一般预算支出预测数256亿，科学研究与开发专项资金占一般预算支出3%以上，计算出科学研究与开发专项资金7.68亿，推算三年合计</w:t>
      </w:r>
      <w:proofErr w:type="gramStart"/>
      <w:r w:rsidRPr="004D46DB">
        <w:rPr>
          <w:rFonts w:ascii="宋体" w:eastAsia="宋体" w:hAnsi="宋体" w:hint="eastAsia"/>
          <w:sz w:val="24"/>
          <w:szCs w:val="24"/>
        </w:rPr>
        <w:t>取整约24亿元</w:t>
      </w:r>
      <w:proofErr w:type="gramEnd"/>
      <w:r w:rsidRPr="004D46DB">
        <w:rPr>
          <w:rFonts w:ascii="宋体" w:eastAsia="宋体" w:hAnsi="宋体" w:hint="eastAsia"/>
          <w:sz w:val="24"/>
          <w:szCs w:val="24"/>
        </w:rPr>
        <w:t>。），用于建设国家创新型城市，资金在市、区年度财政预算内安排,原则1:1配套使用，为本级行政区域内重大工程和重点项目的实施提供引导资金。</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lastRenderedPageBreak/>
        <w:t>（三）落实责任分工</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各区各部门要对照本《行动计划》中各项任务落实工作责任，提出具体实施方案，报市自主创新联席会议办公室（市科工贸信局），每年年初就相关工作和实施方案（特别是约束性指标）的落实情况进行梳理总结，突出工作亮点，查找问题不足，并提出下一步的工作计划并报自主创新联席会议办公室。重大事项由办公室汇总上报联席会议协调解决，确保提升自主创新能力和创建国家创新型城市取得实效。</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（四）强化考核督察</w:t>
      </w:r>
    </w:p>
    <w:p w:rsidR="00090CE0" w:rsidRPr="004D46DB" w:rsidRDefault="00090CE0" w:rsidP="00090CE0">
      <w:pPr>
        <w:spacing w:line="360" w:lineRule="auto"/>
        <w:ind w:firstLineChars="200" w:firstLine="480"/>
        <w:rPr>
          <w:rFonts w:ascii="宋体" w:eastAsia="宋体" w:hAnsi="宋体"/>
          <w:sz w:val="24"/>
          <w:szCs w:val="24"/>
        </w:rPr>
      </w:pPr>
      <w:r w:rsidRPr="004D46DB">
        <w:rPr>
          <w:rFonts w:ascii="宋体" w:eastAsia="宋体" w:hAnsi="宋体" w:hint="eastAsia"/>
          <w:sz w:val="24"/>
          <w:szCs w:val="24"/>
        </w:rPr>
        <w:t xml:space="preserve">结合“国家科技进步先进市（区）”、“广东省科学发展观”和“珠三角规划纲要”考核，将科技创新主要指标和成效作为对市区领导班子自主创新工作和创建国家创新型城市工作成效业绩考核的重要基础和依据。市监察部门负责对各相关部门、各区政府履行职责情况进行监督检查，对未按工作计划履行职责或者工作不力的，责令整改并追究责任。领导小组办公室定期邀请市人大代表、市政协委员对我市创新型城市建设工作进行监督和视察，同时积极发挥新闻舆论的宣传和监督作用。 </w:t>
      </w:r>
    </w:p>
    <w:p w:rsidR="00090CE0" w:rsidRPr="004D46DB" w:rsidRDefault="00090CE0" w:rsidP="00090CE0">
      <w:pPr>
        <w:spacing w:line="360" w:lineRule="auto"/>
      </w:pPr>
    </w:p>
    <w:p w:rsidR="00F75E7A" w:rsidRPr="00090CE0" w:rsidRDefault="00F75E7A"/>
    <w:sectPr w:rsidR="00F75E7A" w:rsidRPr="00090CE0" w:rsidSect="00F75E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A60" w:rsidRDefault="000E5A60" w:rsidP="00090CE0">
      <w:r>
        <w:separator/>
      </w:r>
    </w:p>
  </w:endnote>
  <w:endnote w:type="continuationSeparator" w:id="0">
    <w:p w:rsidR="000E5A60" w:rsidRDefault="000E5A60" w:rsidP="00090C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A60" w:rsidRDefault="000E5A60" w:rsidP="00090CE0">
      <w:r>
        <w:separator/>
      </w:r>
    </w:p>
  </w:footnote>
  <w:footnote w:type="continuationSeparator" w:id="0">
    <w:p w:rsidR="000E5A60" w:rsidRDefault="000E5A60" w:rsidP="00090C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0CE0"/>
    <w:rsid w:val="00040C45"/>
    <w:rsid w:val="00090CE0"/>
    <w:rsid w:val="00096EA4"/>
    <w:rsid w:val="000A0620"/>
    <w:rsid w:val="000B1C54"/>
    <w:rsid w:val="000E07BB"/>
    <w:rsid w:val="000E5A60"/>
    <w:rsid w:val="00107E29"/>
    <w:rsid w:val="00113C70"/>
    <w:rsid w:val="00124FA3"/>
    <w:rsid w:val="001477F7"/>
    <w:rsid w:val="00150395"/>
    <w:rsid w:val="00167A55"/>
    <w:rsid w:val="001767E5"/>
    <w:rsid w:val="00182DF4"/>
    <w:rsid w:val="001C7A9A"/>
    <w:rsid w:val="001E31FE"/>
    <w:rsid w:val="001E3DF3"/>
    <w:rsid w:val="001E54E2"/>
    <w:rsid w:val="001F7704"/>
    <w:rsid w:val="00216B62"/>
    <w:rsid w:val="00237BD1"/>
    <w:rsid w:val="002732F7"/>
    <w:rsid w:val="00275B2E"/>
    <w:rsid w:val="00281B3E"/>
    <w:rsid w:val="002B23FF"/>
    <w:rsid w:val="002C4FB7"/>
    <w:rsid w:val="002E6C83"/>
    <w:rsid w:val="002F376F"/>
    <w:rsid w:val="00312733"/>
    <w:rsid w:val="00314C8D"/>
    <w:rsid w:val="00324459"/>
    <w:rsid w:val="003311DE"/>
    <w:rsid w:val="00334896"/>
    <w:rsid w:val="003350CB"/>
    <w:rsid w:val="00345E97"/>
    <w:rsid w:val="00372BFD"/>
    <w:rsid w:val="00372E2B"/>
    <w:rsid w:val="00391DE2"/>
    <w:rsid w:val="003B0B40"/>
    <w:rsid w:val="003E137D"/>
    <w:rsid w:val="00417F2C"/>
    <w:rsid w:val="00436564"/>
    <w:rsid w:val="004441E9"/>
    <w:rsid w:val="00483F12"/>
    <w:rsid w:val="00496B49"/>
    <w:rsid w:val="004B13CE"/>
    <w:rsid w:val="004D1DE2"/>
    <w:rsid w:val="004D2C6B"/>
    <w:rsid w:val="004E4147"/>
    <w:rsid w:val="004E680E"/>
    <w:rsid w:val="005011E9"/>
    <w:rsid w:val="005473AD"/>
    <w:rsid w:val="00550C69"/>
    <w:rsid w:val="0056482D"/>
    <w:rsid w:val="00566654"/>
    <w:rsid w:val="00573762"/>
    <w:rsid w:val="005757FA"/>
    <w:rsid w:val="00577CAD"/>
    <w:rsid w:val="00596318"/>
    <w:rsid w:val="005A2DE9"/>
    <w:rsid w:val="005D6B4C"/>
    <w:rsid w:val="005E1399"/>
    <w:rsid w:val="006207C4"/>
    <w:rsid w:val="00654CEA"/>
    <w:rsid w:val="006563C2"/>
    <w:rsid w:val="0065699C"/>
    <w:rsid w:val="0066635A"/>
    <w:rsid w:val="00676BBC"/>
    <w:rsid w:val="006B1837"/>
    <w:rsid w:val="006E0B3D"/>
    <w:rsid w:val="006F012E"/>
    <w:rsid w:val="007102AC"/>
    <w:rsid w:val="007148F8"/>
    <w:rsid w:val="00744B64"/>
    <w:rsid w:val="00747FD7"/>
    <w:rsid w:val="00762630"/>
    <w:rsid w:val="007628E9"/>
    <w:rsid w:val="00774147"/>
    <w:rsid w:val="00786BC5"/>
    <w:rsid w:val="007970A4"/>
    <w:rsid w:val="007E4F02"/>
    <w:rsid w:val="007F5B22"/>
    <w:rsid w:val="00807A2C"/>
    <w:rsid w:val="00814B9D"/>
    <w:rsid w:val="00816F52"/>
    <w:rsid w:val="0085656F"/>
    <w:rsid w:val="00873373"/>
    <w:rsid w:val="00891153"/>
    <w:rsid w:val="00891FDE"/>
    <w:rsid w:val="008B1A1D"/>
    <w:rsid w:val="008B7E99"/>
    <w:rsid w:val="008D4C3C"/>
    <w:rsid w:val="008E5656"/>
    <w:rsid w:val="008F2E02"/>
    <w:rsid w:val="00924DAA"/>
    <w:rsid w:val="00930453"/>
    <w:rsid w:val="00933610"/>
    <w:rsid w:val="00947BC4"/>
    <w:rsid w:val="009616F6"/>
    <w:rsid w:val="009618ED"/>
    <w:rsid w:val="00966193"/>
    <w:rsid w:val="00983B9B"/>
    <w:rsid w:val="009D24FD"/>
    <w:rsid w:val="009E3121"/>
    <w:rsid w:val="009E6265"/>
    <w:rsid w:val="00A026A7"/>
    <w:rsid w:val="00A05293"/>
    <w:rsid w:val="00A451B3"/>
    <w:rsid w:val="00A4557B"/>
    <w:rsid w:val="00A530BC"/>
    <w:rsid w:val="00A63DD2"/>
    <w:rsid w:val="00A82F8E"/>
    <w:rsid w:val="00AB2DE6"/>
    <w:rsid w:val="00AC4545"/>
    <w:rsid w:val="00AD420F"/>
    <w:rsid w:val="00AF18FD"/>
    <w:rsid w:val="00B1160E"/>
    <w:rsid w:val="00B262D9"/>
    <w:rsid w:val="00B27A50"/>
    <w:rsid w:val="00B36A47"/>
    <w:rsid w:val="00B80D55"/>
    <w:rsid w:val="00B91F09"/>
    <w:rsid w:val="00B9219D"/>
    <w:rsid w:val="00B92632"/>
    <w:rsid w:val="00BB32A4"/>
    <w:rsid w:val="00BB5869"/>
    <w:rsid w:val="00BD2260"/>
    <w:rsid w:val="00BD6758"/>
    <w:rsid w:val="00BE2DBD"/>
    <w:rsid w:val="00BE7DFD"/>
    <w:rsid w:val="00C05804"/>
    <w:rsid w:val="00C20D4E"/>
    <w:rsid w:val="00C30198"/>
    <w:rsid w:val="00C350BF"/>
    <w:rsid w:val="00C366A8"/>
    <w:rsid w:val="00C43177"/>
    <w:rsid w:val="00C51D01"/>
    <w:rsid w:val="00C7229F"/>
    <w:rsid w:val="00C752A7"/>
    <w:rsid w:val="00CA074B"/>
    <w:rsid w:val="00CA548A"/>
    <w:rsid w:val="00CB4D6C"/>
    <w:rsid w:val="00CE1171"/>
    <w:rsid w:val="00CE511B"/>
    <w:rsid w:val="00D02687"/>
    <w:rsid w:val="00D21ABD"/>
    <w:rsid w:val="00D25B80"/>
    <w:rsid w:val="00D32C12"/>
    <w:rsid w:val="00D46433"/>
    <w:rsid w:val="00D81AAE"/>
    <w:rsid w:val="00D84262"/>
    <w:rsid w:val="00DA05B8"/>
    <w:rsid w:val="00DB303B"/>
    <w:rsid w:val="00DD1560"/>
    <w:rsid w:val="00DE3C10"/>
    <w:rsid w:val="00E12910"/>
    <w:rsid w:val="00E14391"/>
    <w:rsid w:val="00E23854"/>
    <w:rsid w:val="00E67287"/>
    <w:rsid w:val="00E90AD1"/>
    <w:rsid w:val="00EB2151"/>
    <w:rsid w:val="00EC1358"/>
    <w:rsid w:val="00ED76EC"/>
    <w:rsid w:val="00EE4726"/>
    <w:rsid w:val="00F01A36"/>
    <w:rsid w:val="00F166F4"/>
    <w:rsid w:val="00F25419"/>
    <w:rsid w:val="00F256D0"/>
    <w:rsid w:val="00F64184"/>
    <w:rsid w:val="00F75E7A"/>
    <w:rsid w:val="00F803F2"/>
    <w:rsid w:val="00F84134"/>
    <w:rsid w:val="00F9525B"/>
    <w:rsid w:val="00FC6CAB"/>
    <w:rsid w:val="00FE3B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C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0C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0CE0"/>
    <w:rPr>
      <w:sz w:val="18"/>
      <w:szCs w:val="18"/>
    </w:rPr>
  </w:style>
  <w:style w:type="paragraph" w:styleId="a4">
    <w:name w:val="footer"/>
    <w:basedOn w:val="a"/>
    <w:link w:val="Char0"/>
    <w:uiPriority w:val="99"/>
    <w:semiHidden/>
    <w:unhideWhenUsed/>
    <w:rsid w:val="00090C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90CE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1893</Words>
  <Characters>10793</Characters>
  <Application>Microsoft Office Word</Application>
  <DocSecurity>0</DocSecurity>
  <Lines>89</Lines>
  <Paragraphs>25</Paragraphs>
  <ScaleCrop>false</ScaleCrop>
  <Company>souhappy.com</Company>
  <LinksUpToDate>false</LinksUpToDate>
  <CharactersWithSpaces>12661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黄哲</dc:creator>
  <cp:keywords/>
  <dc:description/>
  <cp:lastModifiedBy>黄哲</cp:lastModifiedBy>
  <cp:revision>8</cp:revision>
  <dcterms:created xsi:type="dcterms:W3CDTF">2014-06-03T02:43:00Z</dcterms:created>
  <dcterms:modified xsi:type="dcterms:W3CDTF">2014-06-03T02:58:00Z</dcterms:modified>
</cp:coreProperties>
</file>